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53" w:rsidRPr="00200753" w:rsidRDefault="00200753" w:rsidP="00200753">
      <w:pPr>
        <w:spacing w:line="72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000000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cs-CZ"/>
        </w:rPr>
        <w:t xml:space="preserve"> 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</w:p>
    <w:p w:rsidR="00200753" w:rsidRDefault="00200753" w:rsidP="00200753">
      <w:pPr>
        <w:spacing w:line="240" w:lineRule="auto"/>
        <w:jc w:val="both"/>
        <w:textAlignment w:val="baseline"/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</w:pPr>
      <w:r w:rsidRPr="00200753"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  <w:t xml:space="preserve">Přehled opatření, která začnou platit od pondělí 5. října. V platnosti budou 14 dní. </w:t>
      </w:r>
    </w:p>
    <w:p w:rsidR="00200753" w:rsidRPr="00200753" w:rsidRDefault="00200753" w:rsidP="00200753">
      <w:pPr>
        <w:spacing w:line="240" w:lineRule="auto"/>
        <w:jc w:val="both"/>
        <w:textAlignment w:val="baseline"/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</w:pPr>
      <w:r w:rsidRPr="00200753"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  <w:t xml:space="preserve">Ve středu je oznámil ministr zdravotnictví Roman </w:t>
      </w:r>
      <w:proofErr w:type="spellStart"/>
      <w:r w:rsidRPr="00200753"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  <w:t>Prymula</w:t>
      </w:r>
      <w:proofErr w:type="spellEnd"/>
      <w:r w:rsidRPr="00200753">
        <w:rPr>
          <w:rFonts w:ascii="Georgia" w:eastAsia="Times New Roman" w:hAnsi="Georgia" w:cs="Times New Roman"/>
          <w:color w:val="8C2326"/>
          <w:sz w:val="29"/>
          <w:szCs w:val="29"/>
          <w:lang w:eastAsia="cs-CZ"/>
        </w:rPr>
        <w:t>.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Zákaz hromadných akcí</w:t>
      </w:r>
    </w:p>
    <w:p w:rsidR="00200753" w:rsidRDefault="00200753" w:rsidP="002007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Ve vnitřních prostorách se může hromadných akcí účastnit maximálně 10 osob.</w:t>
      </w:r>
    </w:p>
    <w:p w:rsidR="00200753" w:rsidRDefault="00200753" w:rsidP="002007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Ve vnějších prostorách se může hromadných akcí účastnit nejvýše 20 osob.</w:t>
      </w:r>
    </w:p>
    <w:p w:rsidR="00200753" w:rsidRDefault="00200753" w:rsidP="00200753">
      <w:pPr>
        <w:pStyle w:val="dc-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Georgia" w:hAnsi="Georgia"/>
          <w:color w:val="000000"/>
          <w:sz w:val="26"/>
          <w:szCs w:val="26"/>
        </w:rPr>
      </w:pPr>
      <w:r>
        <w:rPr>
          <w:rStyle w:val="Siln"/>
          <w:rFonts w:ascii="Georgia" w:hAnsi="Georgia"/>
          <w:color w:val="000000"/>
          <w:sz w:val="26"/>
          <w:szCs w:val="26"/>
          <w:bdr w:val="none" w:sz="0" w:space="0" w:color="auto" w:frame="1"/>
        </w:rPr>
        <w:t>Výjimky: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soudní procesy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jednání zastupitelstev obcí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pracovní kolektivy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členové jedné rodiny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budou fungovat bazény, akvaparky i posilovny, nejde v tomto případě o hromadné akce</w:t>
      </w:r>
    </w:p>
    <w:p w:rsidR="00200753" w:rsidRDefault="00200753" w:rsidP="002007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bohoslužby – může se jich účastnit až 100 lidí, nesmí se na nich zpívat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Restaurace</w:t>
      </w:r>
    </w:p>
    <w:p w:rsidR="00200753" w:rsidRDefault="00200753" w:rsidP="002007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U jednoho stolu bude moci být maximálně šest osob.</w:t>
      </w:r>
    </w:p>
    <w:p w:rsidR="00200753" w:rsidRDefault="00200753" w:rsidP="002007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Nakupování v obchodech se tato opatření nijak nedotknou.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Sport</w:t>
      </w:r>
    </w:p>
    <w:p w:rsidR="00200753" w:rsidRDefault="00200753" w:rsidP="002007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Utkání v registrovaných sportech mohou probíhat na všech úrovních bez omezení, ovšem bez diváků. Limit soutěžících či členů realizačních týmů bude dán na 130 osob na utkání.</w:t>
      </w:r>
    </w:p>
    <w:p w:rsidR="00200753" w:rsidRDefault="00200753" w:rsidP="002007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Zájmová sportovní činnost bude venku omezena na 20 lidí.</w:t>
      </w:r>
    </w:p>
    <w:p w:rsidR="00200753" w:rsidRDefault="00200753" w:rsidP="002007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V případě několika tréninkových skupin, např. na atletickém stadionu, jich může být přítomno několik, limit 20 se vztahuje na jeden kolektiv.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Svatby a pohřby</w:t>
      </w:r>
    </w:p>
    <w:p w:rsidR="00200753" w:rsidRDefault="00200753" w:rsidP="0020075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Od 19. října bude limit 30 osob na pohřby i svatby. Záleží na vývoji následující týdny, počet osob se může změnit.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Divadla a kina</w:t>
      </w:r>
    </w:p>
    <w:p w:rsidR="00200753" w:rsidRDefault="00200753" w:rsidP="002007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Budou hrát bez omezení, počet diváků bude omezen na 500 lidí. Zrušeny jsou přestávky na občerstvení.</w:t>
      </w:r>
    </w:p>
    <w:p w:rsidR="00200753" w:rsidRDefault="00200753" w:rsidP="002007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Zakázána jsou operní a muzikálová představení.</w:t>
      </w:r>
    </w:p>
    <w:p w:rsidR="00200753" w:rsidRDefault="00200753" w:rsidP="002007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Zakázány jsou jakékoliv pěvecké akce.</w:t>
      </w:r>
    </w:p>
    <w:p w:rsidR="00200753" w:rsidRDefault="00200753" w:rsidP="002007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Zakázány jsou plesy</w:t>
      </w:r>
    </w:p>
    <w:p w:rsidR="00200753" w:rsidRDefault="00200753" w:rsidP="00200753">
      <w:pPr>
        <w:pStyle w:val="Nadpis2"/>
        <w:shd w:val="clear" w:color="auto" w:fill="FFFFFF"/>
        <w:spacing w:before="0"/>
        <w:jc w:val="center"/>
        <w:textAlignment w:val="baseline"/>
        <w:rPr>
          <w:rFonts w:ascii="Georgia" w:hAnsi="Georgia"/>
          <w:color w:val="000000"/>
          <w:sz w:val="29"/>
          <w:szCs w:val="29"/>
        </w:rPr>
      </w:pPr>
      <w:r>
        <w:rPr>
          <w:rFonts w:ascii="Georgia" w:hAnsi="Georgia"/>
          <w:color w:val="000000"/>
          <w:sz w:val="29"/>
          <w:szCs w:val="29"/>
        </w:rPr>
        <w:t>Školy</w:t>
      </w:r>
    </w:p>
    <w:p w:rsidR="00200753" w:rsidRDefault="00200753" w:rsidP="002007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Střední školy v regionech, které jsou označeny červenou či oranžovou barvou, budou na 14 dní zavřené. Bude probíhat distanční výuka. Ve kterých regionech bude opatření platit, určí krajské hygieny.</w:t>
      </w:r>
    </w:p>
    <w:p w:rsidR="00200753" w:rsidRDefault="00200753" w:rsidP="002007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Praktická výuka na středních školách se konat bude.</w:t>
      </w:r>
    </w:p>
    <w:p w:rsidR="00200753" w:rsidRDefault="00200753" w:rsidP="002007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Základní školy jsou v provozu, ovšem mají zakázán zpěv v hudební výchově a druhé stupně také tělesnou výchovu. Tělesná výchova bude nahrazena pobytem venku.</w:t>
      </w:r>
    </w:p>
    <w:p w:rsidR="00200753" w:rsidRDefault="00200753" w:rsidP="002007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Školní družiny budou normálně fungovat.</w:t>
      </w:r>
    </w:p>
    <w:p w:rsidR="00200753" w:rsidRDefault="00200753" w:rsidP="002007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Georgia" w:hAnsi="Georgia"/>
          <w:color w:val="999999"/>
          <w:sz w:val="29"/>
          <w:szCs w:val="29"/>
        </w:rPr>
      </w:pPr>
      <w:r>
        <w:rPr>
          <w:rStyle w:val="fck"/>
          <w:rFonts w:ascii="Arial" w:hAnsi="Arial" w:cs="Arial"/>
          <w:color w:val="000000"/>
          <w:sz w:val="23"/>
          <w:szCs w:val="23"/>
          <w:bdr w:val="none" w:sz="0" w:space="0" w:color="auto" w:frame="1"/>
        </w:rPr>
        <w:t>Mateřské školy zůstávají v provozu. </w:t>
      </w:r>
    </w:p>
    <w:p w:rsidR="00C45742" w:rsidRDefault="00C45742"/>
    <w:sectPr w:rsidR="00C45742" w:rsidSect="002007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5B0"/>
    <w:multiLevelType w:val="multilevel"/>
    <w:tmpl w:val="34F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034FE"/>
    <w:multiLevelType w:val="multilevel"/>
    <w:tmpl w:val="78CC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91CD6"/>
    <w:multiLevelType w:val="multilevel"/>
    <w:tmpl w:val="CF3A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0B4A6D"/>
    <w:multiLevelType w:val="multilevel"/>
    <w:tmpl w:val="D7AE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BC10AD"/>
    <w:multiLevelType w:val="multilevel"/>
    <w:tmpl w:val="D1D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A91E1D"/>
    <w:multiLevelType w:val="multilevel"/>
    <w:tmpl w:val="CCF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D574B1"/>
    <w:multiLevelType w:val="multilevel"/>
    <w:tmpl w:val="19E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734431"/>
    <w:multiLevelType w:val="multilevel"/>
    <w:tmpl w:val="A91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862C69"/>
    <w:multiLevelType w:val="multilevel"/>
    <w:tmpl w:val="DC7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53"/>
    <w:rsid w:val="00200753"/>
    <w:rsid w:val="00C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0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7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tm-date-formatted">
    <w:name w:val="atm-date-formatted"/>
    <w:basedOn w:val="Standardnpsmoodstavce"/>
    <w:rsid w:val="00200753"/>
  </w:style>
  <w:style w:type="character" w:styleId="Hypertextovodkaz">
    <w:name w:val="Hyperlink"/>
    <w:basedOn w:val="Standardnpsmoodstavce"/>
    <w:uiPriority w:val="99"/>
    <w:semiHidden/>
    <w:unhideWhenUsed/>
    <w:rsid w:val="00200753"/>
    <w:rPr>
      <w:color w:val="0000FF"/>
      <w:u w:val="single"/>
    </w:rPr>
  </w:style>
  <w:style w:type="paragraph" w:customStyle="1" w:styleId="dc-">
    <w:name w:val="d_c-"/>
    <w:basedOn w:val="Normln"/>
    <w:rsid w:val="0020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ck">
    <w:name w:val="f_ck"/>
    <w:basedOn w:val="Standardnpsmoodstavce"/>
    <w:rsid w:val="00200753"/>
  </w:style>
  <w:style w:type="character" w:styleId="Siln">
    <w:name w:val="Strong"/>
    <w:basedOn w:val="Standardnpsmoodstavce"/>
    <w:uiPriority w:val="22"/>
    <w:qFormat/>
    <w:rsid w:val="00200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0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7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tm-date-formatted">
    <w:name w:val="atm-date-formatted"/>
    <w:basedOn w:val="Standardnpsmoodstavce"/>
    <w:rsid w:val="00200753"/>
  </w:style>
  <w:style w:type="character" w:styleId="Hypertextovodkaz">
    <w:name w:val="Hyperlink"/>
    <w:basedOn w:val="Standardnpsmoodstavce"/>
    <w:uiPriority w:val="99"/>
    <w:semiHidden/>
    <w:unhideWhenUsed/>
    <w:rsid w:val="00200753"/>
    <w:rPr>
      <w:color w:val="0000FF"/>
      <w:u w:val="single"/>
    </w:rPr>
  </w:style>
  <w:style w:type="paragraph" w:customStyle="1" w:styleId="dc-">
    <w:name w:val="d_c-"/>
    <w:basedOn w:val="Normln"/>
    <w:rsid w:val="0020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ck">
    <w:name w:val="f_ck"/>
    <w:basedOn w:val="Standardnpsmoodstavce"/>
    <w:rsid w:val="00200753"/>
  </w:style>
  <w:style w:type="character" w:styleId="Siln">
    <w:name w:val="Strong"/>
    <w:basedOn w:val="Standardnpsmoodstavce"/>
    <w:uiPriority w:val="22"/>
    <w:qFormat/>
    <w:rsid w:val="00200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1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3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2020-10-01T09:57:00Z</dcterms:created>
  <dcterms:modified xsi:type="dcterms:W3CDTF">2020-10-01T10:01:00Z</dcterms:modified>
</cp:coreProperties>
</file>